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 INGLESE classe 3 Produzione Dolciaria 2021/2022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Dal libro di testo del biennio “On my way”  edito dalla Zanichelli si lavorerà su eventuali argomenti grammaticali a discrezione dell’insegnante ma, data la diminuzione del quadro orario, e la presenza di esercitazioni grammaticali sul libro di testo ” Light the fire”, si è scelto di far prevalere gli argomenti di microlingua nella programmazione del triennio.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Microlingua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Dal libro di testo "Light The Fire" E. Assirelli, A. Vetri, B. Cappellini, Rizzoli Languages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1: Hospitality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The hospitality industry: Working in hospitality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Types of accommodation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The Catering Industry: bars and restaurants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2: The Catering staff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The Good Pastry Chef: the qualities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The uniform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Personal hygiene and safety rules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Teamwork: the kitchen brigade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Modulo 3: The Workplace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The kitchen: areas</w:t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Heavy equipment </w:t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Tools and equipment for pastry making: appliances and devices, utensils, small tools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MODULE 6: Cooking processes</w:t>
      </w:r>
      <w:r w:rsidDel="00000000" w:rsidR="00000000" w:rsidRPr="00000000">
        <w:rPr>
          <w:rtl w:val="0"/>
        </w:rPr>
        <w:t xml:space="preserve"> (introduction to)</w:t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  <w:t xml:space="preserve">Unit 1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  <w:t xml:space="preserve">- Weights and measures</w:t>
      </w:r>
    </w:p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rPr>
          <w:rtl w:val="0"/>
        </w:rPr>
        <w:t xml:space="preserve">- Food preparation techniques</w:t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  <w:t xml:space="preserve">- Recipes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